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74" w:rsidRPr="001075AE" w:rsidRDefault="00AC0F15" w:rsidP="00AC0F15">
      <w:pPr>
        <w:jc w:val="center"/>
        <w:rPr>
          <w:b/>
          <w:i/>
          <w:sz w:val="32"/>
          <w:szCs w:val="32"/>
        </w:rPr>
      </w:pPr>
      <w:r w:rsidRPr="001075AE">
        <w:rPr>
          <w:b/>
          <w:sz w:val="32"/>
          <w:szCs w:val="32"/>
        </w:rPr>
        <w:t xml:space="preserve">STEM Lesson Plan for </w:t>
      </w:r>
      <w:proofErr w:type="gramStart"/>
      <w:r w:rsidRPr="001075AE">
        <w:rPr>
          <w:b/>
          <w:i/>
          <w:sz w:val="32"/>
          <w:szCs w:val="32"/>
        </w:rPr>
        <w:t>The</w:t>
      </w:r>
      <w:proofErr w:type="gramEnd"/>
      <w:r w:rsidRPr="001075AE">
        <w:rPr>
          <w:b/>
          <w:i/>
          <w:sz w:val="32"/>
          <w:szCs w:val="32"/>
        </w:rPr>
        <w:t xml:space="preserve"> </w:t>
      </w:r>
      <w:r w:rsidR="00815EAB" w:rsidRPr="001075AE">
        <w:rPr>
          <w:b/>
          <w:i/>
          <w:sz w:val="32"/>
          <w:szCs w:val="32"/>
        </w:rPr>
        <w:t>Hunger Games</w:t>
      </w:r>
    </w:p>
    <w:p w:rsidR="00AC0F15" w:rsidRDefault="00AC0F15" w:rsidP="00AC0F15">
      <w:pPr>
        <w:rPr>
          <w:i/>
        </w:rPr>
      </w:pPr>
      <w:r>
        <w:t xml:space="preserve">Title:  </w:t>
      </w:r>
      <w:r w:rsidR="00682D51">
        <w:t>Hunger is not a ga</w:t>
      </w:r>
      <w:r w:rsidR="00A22471">
        <w:t xml:space="preserve">me! </w:t>
      </w:r>
      <w:r w:rsidR="00682D51">
        <w:t xml:space="preserve">Understanding the Setting </w:t>
      </w:r>
      <w:r w:rsidR="00A22471">
        <w:t xml:space="preserve">/Science </w:t>
      </w:r>
      <w:r w:rsidR="00682D51">
        <w:t xml:space="preserve">of </w:t>
      </w:r>
      <w:proofErr w:type="gramStart"/>
      <w:r w:rsidR="00682D51">
        <w:rPr>
          <w:i/>
        </w:rPr>
        <w:t>The</w:t>
      </w:r>
      <w:proofErr w:type="gramEnd"/>
      <w:r w:rsidR="00682D51">
        <w:rPr>
          <w:i/>
        </w:rPr>
        <w:t xml:space="preserve"> Hunger Games</w:t>
      </w:r>
      <w:r w:rsidR="009C2521">
        <w:rPr>
          <w:i/>
        </w:rPr>
        <w:t xml:space="preserve"> </w:t>
      </w:r>
    </w:p>
    <w:p w:rsidR="009C2521" w:rsidRPr="009C2521" w:rsidRDefault="009C2521" w:rsidP="00AC0F15">
      <w:r>
        <w:t>Part 1</w:t>
      </w:r>
    </w:p>
    <w:p w:rsidR="00A22471" w:rsidRDefault="00A22471" w:rsidP="00A22471">
      <w:pPr>
        <w:rPr>
          <w:rFonts w:ascii="Helvetica" w:hAnsi="Helvetica" w:cs="Helvetica"/>
          <w:sz w:val="20"/>
          <w:szCs w:val="20"/>
        </w:rPr>
      </w:pPr>
      <w:r w:rsidRPr="00A22471">
        <w:rPr>
          <w:rFonts w:ascii="Helvetica" w:hAnsi="Helvetica" w:cs="Helvetica"/>
          <w:b/>
          <w:sz w:val="20"/>
          <w:szCs w:val="20"/>
        </w:rPr>
        <w:t>Context of Lesson</w:t>
      </w:r>
      <w:r>
        <w:rPr>
          <w:rFonts w:ascii="Helvetica" w:hAnsi="Helvetica" w:cs="Helvetica"/>
          <w:sz w:val="20"/>
          <w:szCs w:val="20"/>
        </w:rPr>
        <w:t xml:space="preserve">:  This lesson serves as an extension activity for Chapters 1-2 of </w:t>
      </w:r>
      <w:r>
        <w:rPr>
          <w:rFonts w:ascii="Helvetica" w:hAnsi="Helvetica" w:cs="Helvetica"/>
          <w:i/>
          <w:sz w:val="20"/>
          <w:szCs w:val="20"/>
        </w:rPr>
        <w:t xml:space="preserve">The Hunger Games.  </w:t>
      </w:r>
      <w:r>
        <w:rPr>
          <w:rFonts w:ascii="Helvetica" w:hAnsi="Helvetica" w:cs="Helvetica"/>
          <w:sz w:val="20"/>
          <w:szCs w:val="20"/>
        </w:rPr>
        <w:t xml:space="preserve">Chapters 1-2 are set in the futuristic version of North America, in a </w:t>
      </w:r>
      <w:proofErr w:type="spellStart"/>
      <w:r w:rsidRPr="00694157">
        <w:rPr>
          <w:rFonts w:ascii="Helvetica" w:hAnsi="Helvetica" w:cs="Helvetica"/>
          <w:b/>
          <w:sz w:val="20"/>
          <w:szCs w:val="20"/>
        </w:rPr>
        <w:t>dystopic</w:t>
      </w:r>
      <w:proofErr w:type="spellEnd"/>
      <w:r>
        <w:rPr>
          <w:rFonts w:ascii="Helvetica" w:hAnsi="Helvetica" w:cs="Helvetica"/>
          <w:sz w:val="20"/>
          <w:szCs w:val="20"/>
        </w:rPr>
        <w:t xml:space="preserve"> country called </w:t>
      </w:r>
      <w:proofErr w:type="spellStart"/>
      <w:r>
        <w:rPr>
          <w:rFonts w:ascii="Helvetica" w:hAnsi="Helvetica" w:cs="Helvetica"/>
          <w:sz w:val="20"/>
          <w:szCs w:val="20"/>
        </w:rPr>
        <w:t>Panem</w:t>
      </w:r>
      <w:proofErr w:type="spellEnd"/>
      <w:r>
        <w:rPr>
          <w:rFonts w:ascii="Helvetica" w:hAnsi="Helvetica" w:cs="Helvetica"/>
          <w:sz w:val="20"/>
          <w:szCs w:val="20"/>
        </w:rPr>
        <w:t xml:space="preserve">.  The government is corrupt, and while the individuals in charge of </w:t>
      </w:r>
      <w:proofErr w:type="spellStart"/>
      <w:r>
        <w:rPr>
          <w:rFonts w:ascii="Helvetica" w:hAnsi="Helvetica" w:cs="Helvetica"/>
          <w:sz w:val="20"/>
          <w:szCs w:val="20"/>
        </w:rPr>
        <w:t>Panem</w:t>
      </w:r>
      <w:proofErr w:type="spellEnd"/>
      <w:r>
        <w:rPr>
          <w:rFonts w:ascii="Helvetica" w:hAnsi="Helvetica" w:cs="Helvetica"/>
          <w:sz w:val="20"/>
          <w:szCs w:val="20"/>
        </w:rPr>
        <w:t xml:space="preserve"> live in luxury, the citizens of the country literally starve to death. The protagonist, </w:t>
      </w:r>
      <w:proofErr w:type="spellStart"/>
      <w:r>
        <w:rPr>
          <w:rFonts w:ascii="Helvetica" w:hAnsi="Helvetica" w:cs="Helvetica"/>
          <w:sz w:val="20"/>
          <w:szCs w:val="20"/>
        </w:rPr>
        <w:t>Katniss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Everdeen</w:t>
      </w:r>
      <w:proofErr w:type="spellEnd"/>
      <w:r>
        <w:rPr>
          <w:rFonts w:ascii="Helvetica" w:hAnsi="Helvetica" w:cs="Helvetica"/>
          <w:sz w:val="20"/>
          <w:szCs w:val="20"/>
        </w:rPr>
        <w:t xml:space="preserve">, lives in present-day Appalachia.  The novel opens with her hunting and gathering food for her family, which consists only of her mother and sister, because her father died in a mining accident.  As a teenager, </w:t>
      </w:r>
      <w:proofErr w:type="spellStart"/>
      <w:r>
        <w:rPr>
          <w:rFonts w:ascii="Helvetica" w:hAnsi="Helvetica" w:cs="Helvetica"/>
          <w:sz w:val="20"/>
          <w:szCs w:val="20"/>
        </w:rPr>
        <w:t>Katniss</w:t>
      </w:r>
      <w:proofErr w:type="spellEnd"/>
      <w:r>
        <w:rPr>
          <w:rFonts w:ascii="Helvetica" w:hAnsi="Helvetica" w:cs="Helvetica"/>
          <w:sz w:val="20"/>
          <w:szCs w:val="20"/>
        </w:rPr>
        <w:t xml:space="preserve"> is responsible for protecting her family from starvation, which they narrowly escaped a few years ago. For this lesson, students will examine various scientific topics- the human body’s basic needs regarding daily calorie intake, </w:t>
      </w:r>
      <w:r w:rsidR="00DE3A09">
        <w:rPr>
          <w:rFonts w:ascii="Helvetica" w:hAnsi="Helvetica" w:cs="Helvetica"/>
          <w:sz w:val="20"/>
          <w:szCs w:val="20"/>
        </w:rPr>
        <w:t xml:space="preserve">the average teenager’s daily caloric intake in 2012, the process of starvation, and edible plants of the Appalachian region.  They will use this information to better understand the </w:t>
      </w:r>
      <w:proofErr w:type="spellStart"/>
      <w:r w:rsidR="00DE3A09">
        <w:rPr>
          <w:rFonts w:ascii="Helvetica" w:hAnsi="Helvetica" w:cs="Helvetica"/>
          <w:sz w:val="20"/>
          <w:szCs w:val="20"/>
        </w:rPr>
        <w:t>dystopic</w:t>
      </w:r>
      <w:proofErr w:type="spellEnd"/>
      <w:r w:rsidR="00DE3A09">
        <w:rPr>
          <w:rFonts w:ascii="Helvetica" w:hAnsi="Helvetica" w:cs="Helvetica"/>
          <w:sz w:val="20"/>
          <w:szCs w:val="20"/>
        </w:rPr>
        <w:t xml:space="preserve"> setting of this novel.  They will recognize how present-day North America’s standards of living have deteriorated for the citizens of futuristic </w:t>
      </w:r>
      <w:proofErr w:type="spellStart"/>
      <w:r w:rsidR="00DE3A09">
        <w:rPr>
          <w:rFonts w:ascii="Helvetica" w:hAnsi="Helvetica" w:cs="Helvetica"/>
          <w:sz w:val="20"/>
          <w:szCs w:val="20"/>
        </w:rPr>
        <w:t>Panem</w:t>
      </w:r>
      <w:proofErr w:type="spellEnd"/>
      <w:r w:rsidR="00DE3A09">
        <w:rPr>
          <w:rFonts w:ascii="Helvetica" w:hAnsi="Helvetica" w:cs="Helvetica"/>
          <w:sz w:val="20"/>
          <w:szCs w:val="20"/>
        </w:rPr>
        <w:t xml:space="preserve">. </w:t>
      </w:r>
    </w:p>
    <w:p w:rsidR="00682D51" w:rsidRDefault="00AC0F15" w:rsidP="00AC0F15">
      <w:r>
        <w:t xml:space="preserve">Grade Level:  High School- </w:t>
      </w:r>
      <w:r w:rsidR="00682D51">
        <w:t>English 9-10</w:t>
      </w:r>
    </w:p>
    <w:p w:rsidR="00AC0F15" w:rsidRDefault="00682D51" w:rsidP="00AC0F15">
      <w:r>
        <w:t>Le</w:t>
      </w:r>
      <w:r w:rsidR="00AC0F15">
        <w:t xml:space="preserve">sson Design Questions:  </w:t>
      </w:r>
    </w:p>
    <w:p w:rsidR="00AC0F15" w:rsidRDefault="00AC0F15" w:rsidP="00AC0F15">
      <w:pPr>
        <w:pStyle w:val="ListParagraph"/>
        <w:numPr>
          <w:ilvl w:val="0"/>
          <w:numId w:val="1"/>
        </w:numPr>
      </w:pPr>
      <w:r>
        <w:t xml:space="preserve"> What are the essential questions for the lessons?</w:t>
      </w:r>
    </w:p>
    <w:p w:rsidR="0020671E" w:rsidRPr="009C2521" w:rsidRDefault="0020671E" w:rsidP="0020671E">
      <w:pPr>
        <w:ind w:left="360" w:firstLine="360"/>
      </w:pPr>
      <w:r w:rsidRPr="0020671E">
        <w:rPr>
          <w:i/>
        </w:rPr>
        <w:t xml:space="preserve">What amount of calories does the average teenager consume in a day? </w:t>
      </w:r>
      <w:r w:rsidR="009C2521">
        <w:rPr>
          <w:i/>
        </w:rPr>
        <w:t xml:space="preserve"> </w:t>
      </w:r>
      <w:r w:rsidR="009C2521">
        <w:t>Part 1</w:t>
      </w:r>
    </w:p>
    <w:p w:rsidR="00A22471" w:rsidRPr="009C2521" w:rsidRDefault="00A22471" w:rsidP="00A22471">
      <w:pPr>
        <w:ind w:left="720"/>
      </w:pPr>
      <w:r w:rsidRPr="00A22471">
        <w:rPr>
          <w:i/>
        </w:rPr>
        <w:t xml:space="preserve">What are the human body’s basic needs regarding nutrition? </w:t>
      </w:r>
      <w:r w:rsidR="009C2521">
        <w:t xml:space="preserve"> Part 1</w:t>
      </w:r>
    </w:p>
    <w:p w:rsidR="00A22471" w:rsidRPr="00A22471" w:rsidRDefault="00A22471" w:rsidP="00A22471">
      <w:pPr>
        <w:ind w:left="720"/>
        <w:rPr>
          <w:i/>
        </w:rPr>
      </w:pPr>
      <w:r w:rsidRPr="00A22471">
        <w:rPr>
          <w:i/>
        </w:rPr>
        <w:t xml:space="preserve">How does a person starve to death? </w:t>
      </w:r>
      <w:r w:rsidR="009C2521">
        <w:rPr>
          <w:i/>
        </w:rPr>
        <w:t xml:space="preserve"> </w:t>
      </w:r>
      <w:r w:rsidR="009C2521" w:rsidRPr="009C2521">
        <w:t>Part 2</w:t>
      </w:r>
    </w:p>
    <w:p w:rsidR="00A22471" w:rsidRDefault="00A22471" w:rsidP="00A22471">
      <w:pPr>
        <w:ind w:left="720"/>
        <w:rPr>
          <w:i/>
        </w:rPr>
      </w:pPr>
      <w:r>
        <w:rPr>
          <w:i/>
        </w:rPr>
        <w:t xml:space="preserve">How could a person survive in the wild in present-day Appalachia? </w:t>
      </w:r>
      <w:r w:rsidR="009C2521" w:rsidRPr="009C2521">
        <w:t>Part 2</w:t>
      </w:r>
    </w:p>
    <w:p w:rsidR="00F46EAE" w:rsidRDefault="00AC0F15" w:rsidP="00F46EAE">
      <w:pPr>
        <w:pStyle w:val="ListParagraph"/>
        <w:numPr>
          <w:ilvl w:val="1"/>
          <w:numId w:val="1"/>
        </w:numPr>
      </w:pPr>
      <w:r>
        <w:t>Why are these questions relevant?</w:t>
      </w:r>
    </w:p>
    <w:p w:rsidR="00F46EAE" w:rsidRDefault="00F46EAE" w:rsidP="00F46EAE">
      <w:pPr>
        <w:pStyle w:val="ListParagraph"/>
        <w:ind w:left="1440"/>
      </w:pPr>
      <w:r>
        <w:t xml:space="preserve">These questions allow students to master Common Core Reading </w:t>
      </w:r>
      <w:r w:rsidRPr="00E343CA">
        <w:rPr>
          <w:b/>
        </w:rPr>
        <w:t>and</w:t>
      </w:r>
      <w:r>
        <w:t xml:space="preserve"> Writing Standards for Literacy in Science and Technical Subjects</w:t>
      </w:r>
    </w:p>
    <w:p w:rsidR="00AC0F15" w:rsidRDefault="00AC0F15" w:rsidP="00AC0F15">
      <w:pPr>
        <w:pStyle w:val="ListParagraph"/>
        <w:numPr>
          <w:ilvl w:val="1"/>
          <w:numId w:val="1"/>
        </w:numPr>
      </w:pPr>
      <w:r>
        <w:t xml:space="preserve">What is the connection to real life? </w:t>
      </w:r>
    </w:p>
    <w:p w:rsidR="00F46EAE" w:rsidRDefault="00F46EAE" w:rsidP="00F46EAE">
      <w:pPr>
        <w:pStyle w:val="ListParagraph"/>
        <w:ind w:left="1440"/>
      </w:pPr>
      <w:r>
        <w:t xml:space="preserve">These questions connect </w:t>
      </w:r>
      <w:r w:rsidRPr="00F46EAE">
        <w:rPr>
          <w:i/>
        </w:rPr>
        <w:t>The Hunger Games</w:t>
      </w:r>
      <w:r w:rsidR="0020671E">
        <w:t xml:space="preserve"> and biology </w:t>
      </w:r>
      <w:r>
        <w:t>to real life</w:t>
      </w:r>
      <w:r w:rsidR="0020671E">
        <w:t xml:space="preserve"> in a way that personalizes the story and science for students.    </w:t>
      </w:r>
    </w:p>
    <w:p w:rsidR="0020671E" w:rsidRDefault="0020671E" w:rsidP="00F46EAE">
      <w:pPr>
        <w:pStyle w:val="ListParagraph"/>
        <w:ind w:left="1440"/>
      </w:pPr>
    </w:p>
    <w:p w:rsidR="001075AE" w:rsidRDefault="001075AE" w:rsidP="00F46EAE">
      <w:pPr>
        <w:pStyle w:val="ListParagraph"/>
        <w:ind w:left="1440"/>
      </w:pPr>
    </w:p>
    <w:p w:rsidR="00AC0F15" w:rsidRDefault="00AC0F15" w:rsidP="00AC0F15">
      <w:pPr>
        <w:pStyle w:val="ListParagraph"/>
        <w:numPr>
          <w:ilvl w:val="0"/>
          <w:numId w:val="1"/>
        </w:numPr>
      </w:pPr>
      <w:r>
        <w:t xml:space="preserve">What techniques are used to make the lesson:  </w:t>
      </w:r>
    </w:p>
    <w:p w:rsidR="00AC0F15" w:rsidRDefault="00AC0F15" w:rsidP="00AC0F15">
      <w:pPr>
        <w:pStyle w:val="ListParagraph"/>
        <w:numPr>
          <w:ilvl w:val="1"/>
          <w:numId w:val="1"/>
        </w:numPr>
      </w:pPr>
      <w:r>
        <w:t>Inquiry-based?</w:t>
      </w:r>
    </w:p>
    <w:p w:rsidR="00C70210" w:rsidRDefault="00E343CA" w:rsidP="00C70210">
      <w:pPr>
        <w:pStyle w:val="ListParagraph"/>
        <w:ind w:left="1440"/>
      </w:pPr>
      <w:r w:rsidRPr="00D34373">
        <w:t xml:space="preserve">This lesson will allow the students to investigate </w:t>
      </w:r>
      <w:r>
        <w:t xml:space="preserve">their own needs </w:t>
      </w:r>
      <w:r w:rsidR="0020671E">
        <w:t xml:space="preserve">and habits </w:t>
      </w:r>
      <w:r>
        <w:t xml:space="preserve">regarding daily caloric intake.  They will also investigate how that compares to other teenagers in their school.   </w:t>
      </w:r>
    </w:p>
    <w:p w:rsidR="00C70210" w:rsidRDefault="00C70210" w:rsidP="00C70210">
      <w:pPr>
        <w:pStyle w:val="ListParagraph"/>
        <w:ind w:left="1440"/>
      </w:pPr>
    </w:p>
    <w:p w:rsidR="00AC0F15" w:rsidRDefault="00AC0F15" w:rsidP="00C70210">
      <w:pPr>
        <w:pStyle w:val="ListParagraph"/>
        <w:numPr>
          <w:ilvl w:val="1"/>
          <w:numId w:val="1"/>
        </w:numPr>
      </w:pPr>
      <w:r>
        <w:lastRenderedPageBreak/>
        <w:t>Project-based?</w:t>
      </w:r>
    </w:p>
    <w:p w:rsidR="00E343CA" w:rsidRPr="00D34373" w:rsidRDefault="00E343CA" w:rsidP="00E343CA">
      <w:pPr>
        <w:ind w:left="1440"/>
      </w:pPr>
      <w:r w:rsidRPr="00D34373">
        <w:t xml:space="preserve">Students will explore </w:t>
      </w:r>
      <w:r>
        <w:t xml:space="preserve">daily caloric requirements and design a </w:t>
      </w:r>
      <w:r w:rsidR="00C70210">
        <w:t xml:space="preserve">weekly menu for teenagers based on USDA daily caloric values. </w:t>
      </w:r>
    </w:p>
    <w:p w:rsidR="00E343CA" w:rsidRDefault="00E343CA" w:rsidP="00E343CA">
      <w:pPr>
        <w:pStyle w:val="ListParagraph"/>
        <w:ind w:left="1440"/>
      </w:pPr>
    </w:p>
    <w:p w:rsidR="00AC0F15" w:rsidRDefault="00AC0F15" w:rsidP="00AC0F15">
      <w:pPr>
        <w:pStyle w:val="ListParagraph"/>
        <w:numPr>
          <w:ilvl w:val="0"/>
          <w:numId w:val="1"/>
        </w:numPr>
      </w:pPr>
      <w:r>
        <w:t>What are the lesson outcomes?</w:t>
      </w:r>
    </w:p>
    <w:p w:rsidR="00772737" w:rsidRPr="00D34373" w:rsidRDefault="00772737" w:rsidP="00772737">
      <w:pPr>
        <w:pStyle w:val="ListParagraph"/>
        <w:numPr>
          <w:ilvl w:val="1"/>
          <w:numId w:val="1"/>
        </w:numPr>
        <w:spacing w:after="0" w:line="240" w:lineRule="auto"/>
      </w:pPr>
      <w:r w:rsidRPr="00D34373">
        <w:t xml:space="preserve">Students will be able </w:t>
      </w:r>
      <w:r w:rsidR="00E14AD3">
        <w:t xml:space="preserve">to apply the formula for mean. </w:t>
      </w:r>
    </w:p>
    <w:p w:rsidR="00772737" w:rsidRDefault="00E14AD3" w:rsidP="0077273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Students will be able to construct a weekly food menu based on current daily caloric guidelines. </w:t>
      </w:r>
    </w:p>
    <w:p w:rsidR="00772737" w:rsidRDefault="00E14AD3" w:rsidP="00772737">
      <w:pPr>
        <w:pStyle w:val="ListParagraph"/>
        <w:numPr>
          <w:ilvl w:val="1"/>
          <w:numId w:val="1"/>
        </w:numPr>
        <w:spacing w:after="0" w:line="240" w:lineRule="auto"/>
      </w:pPr>
      <w:r>
        <w:t>Students will be able to conduct short research to answer a question</w:t>
      </w:r>
    </w:p>
    <w:p w:rsidR="00E14AD3" w:rsidRDefault="00E14AD3" w:rsidP="00772737">
      <w:pPr>
        <w:pStyle w:val="ListParagraph"/>
        <w:numPr>
          <w:ilvl w:val="1"/>
          <w:numId w:val="1"/>
        </w:numPr>
        <w:spacing w:after="0" w:line="240" w:lineRule="auto"/>
      </w:pPr>
      <w:r>
        <w:t>Students will be able to gather relevant information from digital sources</w:t>
      </w:r>
    </w:p>
    <w:p w:rsidR="00E14AD3" w:rsidRPr="00D34373" w:rsidRDefault="00E14AD3" w:rsidP="00772737">
      <w:pPr>
        <w:pStyle w:val="ListParagraph"/>
        <w:numPr>
          <w:ilvl w:val="1"/>
          <w:numId w:val="1"/>
        </w:numPr>
        <w:spacing w:after="0" w:line="240" w:lineRule="auto"/>
      </w:pPr>
      <w:r>
        <w:t>Students will be able to produce clear and cohesive writing to attend to a question</w:t>
      </w:r>
    </w:p>
    <w:p w:rsidR="00772737" w:rsidRDefault="00772737" w:rsidP="00772737">
      <w:pPr>
        <w:pStyle w:val="ListParagraph"/>
      </w:pPr>
    </w:p>
    <w:p w:rsidR="00AC0F15" w:rsidRDefault="00AC0F15" w:rsidP="00AC0F15">
      <w:pPr>
        <w:pStyle w:val="ListParagraph"/>
        <w:numPr>
          <w:ilvl w:val="0"/>
          <w:numId w:val="1"/>
        </w:numPr>
      </w:pPr>
      <w:r>
        <w:t xml:space="preserve">How is participant discourse promoted? </w:t>
      </w:r>
    </w:p>
    <w:p w:rsidR="00772737" w:rsidRDefault="00772737" w:rsidP="00772737">
      <w:pPr>
        <w:pStyle w:val="ListParagraph"/>
      </w:pPr>
      <w:r w:rsidRPr="00D34373">
        <w:t xml:space="preserve">Students will begin the lesson by doing inquiry on </w:t>
      </w:r>
      <w:r w:rsidR="00C70210">
        <w:t>daily caloric needs for teenagers</w:t>
      </w:r>
      <w:r w:rsidR="00E14AD3">
        <w:t xml:space="preserve"> in groups of 3s</w:t>
      </w:r>
      <w:r w:rsidRPr="00D34373">
        <w:t xml:space="preserve">.  </w:t>
      </w:r>
      <w:r w:rsidR="00C70210">
        <w:t xml:space="preserve">Students will then track their own daily diets.  Upon completing this, students will work as </w:t>
      </w:r>
      <w:proofErr w:type="gramStart"/>
      <w:r w:rsidR="00C70210">
        <w:t>a class to determine the class average, along with the implications- are</w:t>
      </w:r>
      <w:proofErr w:type="gramEnd"/>
      <w:r w:rsidR="00C70210">
        <w:t xml:space="preserve"> they higher or lower in </w:t>
      </w:r>
      <w:proofErr w:type="spellStart"/>
      <w:r w:rsidR="00C70210">
        <w:t>comparision</w:t>
      </w:r>
      <w:proofErr w:type="spellEnd"/>
      <w:r w:rsidR="00C70210">
        <w:t>?  S</w:t>
      </w:r>
      <w:r w:rsidR="00E14AD3">
        <w:t xml:space="preserve">tudents will then design their own menus independently and complete the interpretation piece. </w:t>
      </w:r>
    </w:p>
    <w:p w:rsidR="00772737" w:rsidRDefault="00772737" w:rsidP="00772737">
      <w:pPr>
        <w:pStyle w:val="ListParagraph"/>
      </w:pPr>
    </w:p>
    <w:p w:rsidR="00AC0F15" w:rsidRDefault="00AC0F15" w:rsidP="00AC0F15">
      <w:pPr>
        <w:pStyle w:val="ListParagraph"/>
        <w:numPr>
          <w:ilvl w:val="0"/>
          <w:numId w:val="1"/>
        </w:numPr>
      </w:pPr>
      <w:r>
        <w:t xml:space="preserve">How </w:t>
      </w:r>
      <w:r w:rsidR="0020671E">
        <w:t xml:space="preserve">are </w:t>
      </w:r>
      <w:r>
        <w:t xml:space="preserve">science, technology, engineering, and mathematics addressed in the lesson? </w:t>
      </w:r>
    </w:p>
    <w:p w:rsidR="0020671E" w:rsidRDefault="0020671E" w:rsidP="0020671E">
      <w:pPr>
        <w:ind w:left="360" w:firstLine="360"/>
      </w:pPr>
      <w:r w:rsidRPr="0020671E">
        <w:rPr>
          <w:b/>
          <w:u w:val="single"/>
        </w:rPr>
        <w:t>Science</w:t>
      </w:r>
      <w:r w:rsidRPr="0020671E">
        <w:rPr>
          <w:b/>
        </w:rPr>
        <w:t xml:space="preserve">:  </w:t>
      </w:r>
      <w:r w:rsidR="00C70210">
        <w:t xml:space="preserve">Students will research the current dietary guidelines for teenagers. </w:t>
      </w:r>
    </w:p>
    <w:p w:rsidR="0020671E" w:rsidRPr="0020671E" w:rsidRDefault="0020671E" w:rsidP="0020671E">
      <w:pPr>
        <w:ind w:left="720"/>
        <w:rPr>
          <w:b/>
        </w:rPr>
      </w:pPr>
      <w:r w:rsidRPr="0020671E">
        <w:rPr>
          <w:b/>
          <w:u w:val="single"/>
        </w:rPr>
        <w:t>Technology</w:t>
      </w:r>
      <w:r w:rsidRPr="0020671E">
        <w:rPr>
          <w:b/>
        </w:rPr>
        <w:t>:</w:t>
      </w:r>
      <w:r>
        <w:t xml:space="preserve">  Students will be using approved Internet resources to find answers to essential questions.   </w:t>
      </w:r>
    </w:p>
    <w:p w:rsidR="0020671E" w:rsidRDefault="0020671E" w:rsidP="00C70210">
      <w:pPr>
        <w:ind w:left="720"/>
      </w:pPr>
      <w:r w:rsidRPr="0020671E">
        <w:rPr>
          <w:b/>
          <w:u w:val="single"/>
        </w:rPr>
        <w:t>Engineering:</w:t>
      </w:r>
      <w:r w:rsidRPr="0020671E">
        <w:rPr>
          <w:b/>
        </w:rPr>
        <w:t xml:space="preserve"> </w:t>
      </w:r>
      <w:r>
        <w:t xml:space="preserve"> </w:t>
      </w:r>
      <w:r w:rsidR="00C70210">
        <w:t xml:space="preserve"> Students will design a meal plan for themselves that utilizes current recommended caloric guidelines. </w:t>
      </w:r>
      <w:r w:rsidR="0089774F">
        <w:t xml:space="preserve">  Students will then come back after a week and determine how difficult their menus were to maintain.  They will make appropriate modifications.  </w:t>
      </w:r>
    </w:p>
    <w:p w:rsidR="0020671E" w:rsidRDefault="0020671E" w:rsidP="0020671E">
      <w:pPr>
        <w:ind w:left="720"/>
      </w:pPr>
      <w:r w:rsidRPr="00C70210">
        <w:rPr>
          <w:b/>
          <w:u w:val="single"/>
        </w:rPr>
        <w:t>Mathematics:</w:t>
      </w:r>
      <w:r>
        <w:t xml:space="preserve">  Students will be applying formulas to calculate the Average Number of Calories consumed in both 9</w:t>
      </w:r>
      <w:r w:rsidRPr="0020671E">
        <w:rPr>
          <w:vertAlign w:val="superscript"/>
        </w:rPr>
        <w:t>th</w:t>
      </w:r>
      <w:r>
        <w:t xml:space="preserve"> grade males and females.  </w:t>
      </w:r>
    </w:p>
    <w:p w:rsidR="001075AE" w:rsidRDefault="001075AE" w:rsidP="00807F85">
      <w:pPr>
        <w:rPr>
          <w:rFonts w:ascii="Helvetica" w:hAnsi="Helvetica" w:cs="Helvetica"/>
          <w:sz w:val="20"/>
          <w:szCs w:val="20"/>
        </w:rPr>
      </w:pPr>
    </w:p>
    <w:p w:rsidR="001075AE" w:rsidRDefault="001075AE" w:rsidP="00807F85">
      <w:pPr>
        <w:rPr>
          <w:rFonts w:ascii="Helvetica" w:hAnsi="Helvetica" w:cs="Helvetica"/>
          <w:sz w:val="20"/>
          <w:szCs w:val="20"/>
        </w:rPr>
      </w:pPr>
    </w:p>
    <w:p w:rsidR="00536187" w:rsidRDefault="00536187" w:rsidP="00807F85">
      <w:pPr>
        <w:rPr>
          <w:rFonts w:ascii="Helvetica" w:hAnsi="Helvetica" w:cs="Helvetica"/>
          <w:sz w:val="20"/>
          <w:szCs w:val="20"/>
        </w:rPr>
      </w:pPr>
    </w:p>
    <w:p w:rsidR="00536187" w:rsidRDefault="00536187" w:rsidP="00807F85">
      <w:pPr>
        <w:rPr>
          <w:rFonts w:ascii="Helvetica" w:hAnsi="Helvetica" w:cs="Helvetica"/>
          <w:sz w:val="20"/>
          <w:szCs w:val="20"/>
        </w:rPr>
      </w:pPr>
    </w:p>
    <w:p w:rsidR="00536187" w:rsidRDefault="00536187" w:rsidP="00807F85">
      <w:pPr>
        <w:rPr>
          <w:rFonts w:ascii="Helvetica" w:hAnsi="Helvetica" w:cs="Helvetica"/>
          <w:sz w:val="20"/>
          <w:szCs w:val="20"/>
        </w:rPr>
      </w:pPr>
    </w:p>
    <w:p w:rsidR="00536187" w:rsidRDefault="00536187" w:rsidP="00807F85">
      <w:pPr>
        <w:rPr>
          <w:rFonts w:ascii="Helvetica" w:hAnsi="Helvetica" w:cs="Helvetica"/>
          <w:sz w:val="20"/>
          <w:szCs w:val="20"/>
        </w:rPr>
      </w:pPr>
    </w:p>
    <w:p w:rsidR="00536187" w:rsidRDefault="00536187" w:rsidP="00807F85">
      <w:pPr>
        <w:rPr>
          <w:rFonts w:ascii="Helvetica" w:hAnsi="Helvetica" w:cs="Helvetica"/>
          <w:sz w:val="20"/>
          <w:szCs w:val="20"/>
        </w:rPr>
      </w:pPr>
    </w:p>
    <w:p w:rsidR="00536187" w:rsidRDefault="00536187" w:rsidP="00536187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Use the table below to match standards.</w:t>
      </w:r>
    </w:p>
    <w:p w:rsidR="00536187" w:rsidRDefault="00536187" w:rsidP="0053618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2137"/>
        <w:gridCol w:w="4246"/>
      </w:tblGrid>
      <w:tr w:rsidR="00536187" w:rsidRPr="001E3936" w:rsidTr="0089774F">
        <w:trPr>
          <w:trHeight w:val="252"/>
          <w:tblHeader/>
        </w:trPr>
        <w:tc>
          <w:tcPr>
            <w:tcW w:w="1667" w:type="pct"/>
            <w:vAlign w:val="center"/>
          </w:tcPr>
          <w:p w:rsidR="00536187" w:rsidRPr="001E3936" w:rsidRDefault="00536187" w:rsidP="00C40973">
            <w:pPr>
              <w:jc w:val="center"/>
              <w:rPr>
                <w:b/>
              </w:rPr>
            </w:pPr>
            <w:r w:rsidRPr="001E3936">
              <w:rPr>
                <w:b/>
              </w:rPr>
              <w:t>Standard</w:t>
            </w:r>
          </w:p>
        </w:tc>
        <w:tc>
          <w:tcPr>
            <w:tcW w:w="1116" w:type="pct"/>
            <w:vAlign w:val="center"/>
          </w:tcPr>
          <w:p w:rsidR="00536187" w:rsidRPr="001E3936" w:rsidRDefault="00536187" w:rsidP="00C40973">
            <w:pPr>
              <w:jc w:val="center"/>
              <w:rPr>
                <w:b/>
              </w:rPr>
            </w:pPr>
            <w:r w:rsidRPr="001E3936">
              <w:rPr>
                <w:b/>
              </w:rPr>
              <w:t>Standard Number (s)</w:t>
            </w:r>
          </w:p>
        </w:tc>
        <w:tc>
          <w:tcPr>
            <w:tcW w:w="2217" w:type="pct"/>
            <w:vAlign w:val="center"/>
          </w:tcPr>
          <w:p w:rsidR="00536187" w:rsidRPr="001E3936" w:rsidRDefault="00536187" w:rsidP="00C40973">
            <w:pPr>
              <w:jc w:val="center"/>
              <w:rPr>
                <w:b/>
              </w:rPr>
            </w:pPr>
            <w:r w:rsidRPr="001E3936">
              <w:rPr>
                <w:b/>
              </w:rPr>
              <w:t>Activity</w:t>
            </w:r>
          </w:p>
        </w:tc>
      </w:tr>
      <w:tr w:rsidR="00536187" w:rsidRPr="001E3936" w:rsidTr="0089774F">
        <w:trPr>
          <w:trHeight w:val="1205"/>
        </w:trPr>
        <w:tc>
          <w:tcPr>
            <w:tcW w:w="1667" w:type="pct"/>
            <w:vAlign w:val="center"/>
          </w:tcPr>
          <w:p w:rsidR="00536187" w:rsidRPr="001E3936" w:rsidRDefault="00536187" w:rsidP="00C40973">
            <w:pPr>
              <w:jc w:val="center"/>
              <w:rPr>
                <w:b/>
              </w:rPr>
            </w:pPr>
            <w:r w:rsidRPr="001E3936">
              <w:rPr>
                <w:b/>
              </w:rPr>
              <w:t>Common Core Standard for Mathematic</w:t>
            </w:r>
            <w:r>
              <w:rPr>
                <w:b/>
              </w:rPr>
              <w:t>al</w:t>
            </w:r>
            <w:r w:rsidRPr="001E3936">
              <w:rPr>
                <w:b/>
              </w:rPr>
              <w:t xml:space="preserve"> Practice</w:t>
            </w:r>
          </w:p>
        </w:tc>
        <w:tc>
          <w:tcPr>
            <w:tcW w:w="1116" w:type="pct"/>
            <w:vAlign w:val="center"/>
          </w:tcPr>
          <w:p w:rsidR="00536187" w:rsidRDefault="00536187" w:rsidP="00C40973">
            <w:pPr>
              <w:jc w:val="center"/>
            </w:pPr>
            <w:r>
              <w:t>4</w:t>
            </w:r>
          </w:p>
          <w:p w:rsidR="00536187" w:rsidRDefault="00536187" w:rsidP="00C40973">
            <w:pPr>
              <w:jc w:val="center"/>
            </w:pPr>
            <w:r>
              <w:t>5</w:t>
            </w:r>
          </w:p>
          <w:p w:rsidR="00536187" w:rsidRPr="001E3936" w:rsidRDefault="00536187" w:rsidP="00C40973">
            <w:pPr>
              <w:jc w:val="center"/>
            </w:pPr>
            <w:r>
              <w:t>6</w:t>
            </w:r>
          </w:p>
        </w:tc>
        <w:tc>
          <w:tcPr>
            <w:tcW w:w="2217" w:type="pct"/>
            <w:vAlign w:val="center"/>
          </w:tcPr>
          <w:p w:rsidR="00536187" w:rsidRDefault="00536187" w:rsidP="00C40973">
            <w:r>
              <w:t>Model with mathematics</w:t>
            </w:r>
          </w:p>
          <w:p w:rsidR="00536187" w:rsidRDefault="00536187" w:rsidP="00C40973">
            <w:r>
              <w:t>Use appropriate tools strategically.</w:t>
            </w:r>
          </w:p>
          <w:p w:rsidR="00536187" w:rsidRPr="001E3936" w:rsidRDefault="00536187" w:rsidP="00C40973">
            <w:r>
              <w:t>Attend to precision.</w:t>
            </w:r>
          </w:p>
        </w:tc>
      </w:tr>
      <w:tr w:rsidR="00536187" w:rsidRPr="001E3936" w:rsidTr="0089774F">
        <w:trPr>
          <w:trHeight w:val="1259"/>
        </w:trPr>
        <w:tc>
          <w:tcPr>
            <w:tcW w:w="1667" w:type="pct"/>
            <w:vAlign w:val="center"/>
          </w:tcPr>
          <w:p w:rsidR="00536187" w:rsidRPr="001E3936" w:rsidRDefault="00536187" w:rsidP="00C40973">
            <w:pPr>
              <w:jc w:val="center"/>
              <w:rPr>
                <w:b/>
              </w:rPr>
            </w:pPr>
            <w:r w:rsidRPr="001E3936">
              <w:rPr>
                <w:b/>
              </w:rPr>
              <w:t>International Technology Education Association</w:t>
            </w:r>
            <w:r>
              <w:rPr>
                <w:b/>
              </w:rPr>
              <w:t xml:space="preserve"> </w:t>
            </w:r>
            <w:bookmarkStart w:id="0" w:name="OLE_LINK1"/>
            <w:bookmarkStart w:id="1" w:name="OLE_LINK2"/>
            <w:r>
              <w:rPr>
                <w:b/>
              </w:rPr>
              <w:t>Standards for Technological Literacy</w:t>
            </w:r>
            <w:bookmarkEnd w:id="0"/>
            <w:bookmarkEnd w:id="1"/>
          </w:p>
        </w:tc>
        <w:tc>
          <w:tcPr>
            <w:tcW w:w="1116" w:type="pct"/>
            <w:vAlign w:val="center"/>
          </w:tcPr>
          <w:p w:rsidR="00536187" w:rsidRDefault="00536187" w:rsidP="00C40973">
            <w:pPr>
              <w:jc w:val="center"/>
            </w:pPr>
            <w:r>
              <w:t>3</w:t>
            </w:r>
          </w:p>
          <w:p w:rsidR="00536187" w:rsidRPr="001E3936" w:rsidRDefault="00536187" w:rsidP="00C40973">
            <w:pPr>
              <w:jc w:val="center"/>
            </w:pPr>
            <w:r>
              <w:t>11</w:t>
            </w:r>
          </w:p>
        </w:tc>
        <w:tc>
          <w:tcPr>
            <w:tcW w:w="2217" w:type="pct"/>
            <w:vAlign w:val="center"/>
          </w:tcPr>
          <w:p w:rsidR="00536187" w:rsidRDefault="00536187" w:rsidP="00C40973">
            <w:r>
              <w:t>Relationship among technologies and other fields.</w:t>
            </w:r>
          </w:p>
          <w:p w:rsidR="00536187" w:rsidRPr="001E3936" w:rsidRDefault="00536187" w:rsidP="00C40973">
            <w:r>
              <w:t>Apply the design process</w:t>
            </w:r>
          </w:p>
        </w:tc>
      </w:tr>
      <w:tr w:rsidR="00536187" w:rsidRPr="001E3936" w:rsidTr="0089774F">
        <w:trPr>
          <w:trHeight w:val="1401"/>
        </w:trPr>
        <w:tc>
          <w:tcPr>
            <w:tcW w:w="1667" w:type="pct"/>
            <w:vAlign w:val="center"/>
          </w:tcPr>
          <w:p w:rsidR="00536187" w:rsidRPr="001E3936" w:rsidRDefault="00536187" w:rsidP="00C40973">
            <w:pPr>
              <w:jc w:val="center"/>
              <w:rPr>
                <w:b/>
              </w:rPr>
            </w:pPr>
            <w:r w:rsidRPr="001E3936">
              <w:rPr>
                <w:b/>
              </w:rPr>
              <w:t>Common Core Reading Standards for Literacy in Science and Technical Subjects</w:t>
            </w:r>
          </w:p>
        </w:tc>
        <w:tc>
          <w:tcPr>
            <w:tcW w:w="1116" w:type="pct"/>
            <w:vAlign w:val="center"/>
          </w:tcPr>
          <w:p w:rsidR="00536187" w:rsidRDefault="00536187" w:rsidP="00C40973">
            <w:pPr>
              <w:jc w:val="center"/>
            </w:pPr>
            <w:r>
              <w:t>4</w:t>
            </w:r>
          </w:p>
          <w:p w:rsidR="00536187" w:rsidRDefault="00536187" w:rsidP="00C40973">
            <w:pPr>
              <w:jc w:val="center"/>
            </w:pPr>
            <w:r>
              <w:t>7</w:t>
            </w:r>
          </w:p>
          <w:p w:rsidR="00536187" w:rsidRPr="001E3936" w:rsidRDefault="00536187" w:rsidP="00C40973">
            <w:pPr>
              <w:jc w:val="center"/>
            </w:pPr>
            <w:r>
              <w:t>8</w:t>
            </w:r>
          </w:p>
        </w:tc>
        <w:tc>
          <w:tcPr>
            <w:tcW w:w="2217" w:type="pct"/>
            <w:vAlign w:val="center"/>
          </w:tcPr>
          <w:p w:rsidR="00536187" w:rsidRDefault="00536187" w:rsidP="00C40973">
            <w:r>
              <w:t>Produce clear and coherent writing.</w:t>
            </w:r>
          </w:p>
          <w:p w:rsidR="00536187" w:rsidRDefault="00536187" w:rsidP="00C40973">
            <w:r>
              <w:t>Conduct short research project to answer a question</w:t>
            </w:r>
          </w:p>
          <w:p w:rsidR="00536187" w:rsidRPr="001E3936" w:rsidRDefault="00536187" w:rsidP="00C40973">
            <w:r>
              <w:t>Gather relevant information from digital sources</w:t>
            </w:r>
          </w:p>
        </w:tc>
      </w:tr>
      <w:tr w:rsidR="00536187" w:rsidRPr="001E3936" w:rsidTr="0089774F">
        <w:trPr>
          <w:trHeight w:val="1401"/>
        </w:trPr>
        <w:tc>
          <w:tcPr>
            <w:tcW w:w="1667" w:type="pct"/>
            <w:vAlign w:val="center"/>
          </w:tcPr>
          <w:p w:rsidR="00536187" w:rsidRPr="001E3936" w:rsidRDefault="00536187" w:rsidP="00C40973">
            <w:pPr>
              <w:jc w:val="center"/>
              <w:rPr>
                <w:b/>
              </w:rPr>
            </w:pPr>
            <w:r w:rsidRPr="001E3936">
              <w:rPr>
                <w:b/>
              </w:rPr>
              <w:t>Common Core Writing Standards for Literacy in History/ Social Studies, Science and Technical Subjects</w:t>
            </w:r>
          </w:p>
        </w:tc>
        <w:tc>
          <w:tcPr>
            <w:tcW w:w="1116" w:type="pct"/>
            <w:vAlign w:val="center"/>
          </w:tcPr>
          <w:p w:rsidR="00536187" w:rsidRPr="001E3936" w:rsidRDefault="00536187" w:rsidP="00C40973">
            <w:pPr>
              <w:jc w:val="center"/>
            </w:pPr>
            <w:r>
              <w:t>7</w:t>
            </w:r>
          </w:p>
        </w:tc>
        <w:tc>
          <w:tcPr>
            <w:tcW w:w="2217" w:type="pct"/>
            <w:vAlign w:val="center"/>
          </w:tcPr>
          <w:p w:rsidR="00536187" w:rsidRPr="001E3936" w:rsidRDefault="00536187" w:rsidP="00C40973">
            <w:r>
              <w:t>Use mathematical processes</w:t>
            </w:r>
          </w:p>
        </w:tc>
      </w:tr>
      <w:tr w:rsidR="00536187" w:rsidRPr="001E3936" w:rsidTr="0089774F">
        <w:trPr>
          <w:trHeight w:val="1401"/>
        </w:trPr>
        <w:tc>
          <w:tcPr>
            <w:tcW w:w="1667" w:type="pct"/>
            <w:vAlign w:val="center"/>
          </w:tcPr>
          <w:p w:rsidR="00536187" w:rsidRPr="001E3936" w:rsidRDefault="00536187" w:rsidP="00C40973">
            <w:pPr>
              <w:jc w:val="center"/>
              <w:rPr>
                <w:b/>
              </w:rPr>
            </w:pPr>
            <w:r w:rsidRPr="001E3936">
              <w:rPr>
                <w:b/>
              </w:rPr>
              <w:t>Skills and Processes Core Learning Goals for Science</w:t>
            </w:r>
          </w:p>
        </w:tc>
        <w:tc>
          <w:tcPr>
            <w:tcW w:w="1116" w:type="pct"/>
            <w:vAlign w:val="center"/>
          </w:tcPr>
          <w:p w:rsidR="00BB6CDA" w:rsidRDefault="00BB6CDA" w:rsidP="00BB6C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  <w:p w:rsidR="00BB6CDA" w:rsidRDefault="00BB6CDA" w:rsidP="00BB6C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  <w:p w:rsidR="00BB6CDA" w:rsidRDefault="00BB6CDA" w:rsidP="00BB6C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  <w:p w:rsidR="00BB6CDA" w:rsidRDefault="00BB6CDA" w:rsidP="00BB6C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  <w:p w:rsidR="00536187" w:rsidRPr="001E3936" w:rsidRDefault="00BB6CDA" w:rsidP="00BB6CDA">
            <w:pPr>
              <w:jc w:val="center"/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217" w:type="pct"/>
            <w:vAlign w:val="center"/>
          </w:tcPr>
          <w:p w:rsidR="00BB6CDA" w:rsidRPr="00A20C21" w:rsidRDefault="00BB6CDA" w:rsidP="00BB6CDA">
            <w:pPr>
              <w:rPr>
                <w:sz w:val="20"/>
                <w:szCs w:val="20"/>
              </w:rPr>
            </w:pPr>
            <w:r w:rsidRPr="00A20C21">
              <w:rPr>
                <w:sz w:val="20"/>
                <w:szCs w:val="20"/>
              </w:rPr>
              <w:t>Carry out scientific i</w:t>
            </w:r>
            <w:r>
              <w:rPr>
                <w:sz w:val="20"/>
                <w:szCs w:val="20"/>
              </w:rPr>
              <w:t xml:space="preserve">nvestigations effectively </w:t>
            </w:r>
          </w:p>
          <w:p w:rsidR="00BB6CDA" w:rsidRPr="00A20C21" w:rsidRDefault="00BB6CDA" w:rsidP="00BB6CDA">
            <w:pPr>
              <w:rPr>
                <w:sz w:val="20"/>
                <w:szCs w:val="20"/>
              </w:rPr>
            </w:pPr>
            <w:r w:rsidRPr="00A20C21">
              <w:rPr>
                <w:sz w:val="20"/>
                <w:szCs w:val="20"/>
              </w:rPr>
              <w:t xml:space="preserve">Demonstrate that data analysis is a vital aspect of the process of scientific </w:t>
            </w:r>
            <w:r>
              <w:rPr>
                <w:sz w:val="20"/>
                <w:szCs w:val="20"/>
              </w:rPr>
              <w:t xml:space="preserve">inquiry </w:t>
            </w:r>
          </w:p>
          <w:p w:rsidR="00BB6CDA" w:rsidRPr="00A20C21" w:rsidRDefault="00BB6CDA" w:rsidP="00BB6CDA">
            <w:pPr>
              <w:rPr>
                <w:sz w:val="20"/>
                <w:szCs w:val="20"/>
              </w:rPr>
            </w:pPr>
            <w:r w:rsidRPr="00A20C21">
              <w:rPr>
                <w:sz w:val="20"/>
                <w:szCs w:val="20"/>
              </w:rPr>
              <w:t xml:space="preserve">Use appropriate methods for communicating in writing and orally the process and results of scientific investigation </w:t>
            </w:r>
          </w:p>
          <w:p w:rsidR="00BB6CDA" w:rsidRPr="00A20C21" w:rsidRDefault="00BB6CDA" w:rsidP="00BB6CDA">
            <w:pPr>
              <w:rPr>
                <w:sz w:val="20"/>
                <w:szCs w:val="20"/>
              </w:rPr>
            </w:pPr>
            <w:r w:rsidRPr="00A20C21">
              <w:rPr>
                <w:sz w:val="20"/>
                <w:szCs w:val="20"/>
              </w:rPr>
              <w:t>Use mathematical pr</w:t>
            </w:r>
            <w:r>
              <w:rPr>
                <w:sz w:val="20"/>
                <w:szCs w:val="20"/>
              </w:rPr>
              <w:t>ocesses</w:t>
            </w:r>
          </w:p>
          <w:p w:rsidR="00536187" w:rsidRPr="001E3936" w:rsidRDefault="00BB6CDA" w:rsidP="00BB6CDA">
            <w:r w:rsidRPr="00A20C21">
              <w:rPr>
                <w:sz w:val="20"/>
                <w:szCs w:val="20"/>
              </w:rPr>
              <w:t xml:space="preserve">Show connections between sciences and other fields </w:t>
            </w:r>
          </w:p>
        </w:tc>
      </w:tr>
      <w:tr w:rsidR="00536187" w:rsidRPr="001E3936" w:rsidTr="0089774F">
        <w:trPr>
          <w:trHeight w:val="1151"/>
        </w:trPr>
        <w:tc>
          <w:tcPr>
            <w:tcW w:w="1667" w:type="pct"/>
            <w:vAlign w:val="center"/>
          </w:tcPr>
          <w:p w:rsidR="00536187" w:rsidRPr="001E3936" w:rsidRDefault="00536187" w:rsidP="00C40973">
            <w:pPr>
              <w:jc w:val="center"/>
              <w:rPr>
                <w:b/>
              </w:rPr>
            </w:pPr>
            <w:r>
              <w:rPr>
                <w:b/>
              </w:rPr>
              <w:t>Content Standard</w:t>
            </w:r>
          </w:p>
        </w:tc>
        <w:tc>
          <w:tcPr>
            <w:tcW w:w="1116" w:type="pct"/>
            <w:vAlign w:val="center"/>
          </w:tcPr>
          <w:p w:rsidR="00536187" w:rsidRDefault="0017372E" w:rsidP="00C40973">
            <w:pPr>
              <w:jc w:val="center"/>
            </w:pPr>
            <w:r>
              <w:t>1</w:t>
            </w:r>
          </w:p>
          <w:p w:rsidR="0017372E" w:rsidRDefault="0017372E" w:rsidP="0017372E"/>
          <w:p w:rsidR="0017372E" w:rsidRDefault="0017372E" w:rsidP="00C40973">
            <w:pPr>
              <w:jc w:val="center"/>
            </w:pPr>
            <w:r>
              <w:t>2</w:t>
            </w:r>
          </w:p>
        </w:tc>
        <w:tc>
          <w:tcPr>
            <w:tcW w:w="2217" w:type="pct"/>
            <w:vAlign w:val="center"/>
          </w:tcPr>
          <w:p w:rsidR="0017372E" w:rsidRPr="0017372E" w:rsidRDefault="0017372E" w:rsidP="0017372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eastAsia="Times New Roman" w:cs="Helvetica"/>
                <w:color w:val="3B3B3A"/>
                <w:sz w:val="20"/>
                <w:szCs w:val="20"/>
              </w:rPr>
            </w:pPr>
            <w:r w:rsidRPr="0017372E">
              <w:rPr>
                <w:rFonts w:eastAsia="Times New Roman" w:cs="Helvetica"/>
                <w:color w:val="3B3B3A"/>
                <w:sz w:val="20"/>
                <w:szCs w:val="20"/>
              </w:rPr>
              <w:t>Write arguments to support claims in an analysis of substantive topics or texts, using valid reasoning and relevant and sufficient evidence.</w:t>
            </w:r>
          </w:p>
          <w:p w:rsidR="0017372E" w:rsidRPr="0017372E" w:rsidRDefault="0017372E" w:rsidP="0017372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eastAsia="Times New Roman" w:cs="Helvetica"/>
                <w:color w:val="3B3B3A"/>
                <w:sz w:val="20"/>
                <w:szCs w:val="20"/>
              </w:rPr>
            </w:pPr>
            <w:r w:rsidRPr="0017372E">
              <w:rPr>
                <w:rFonts w:eastAsia="Times New Roman" w:cs="Helvetica"/>
                <w:color w:val="3B3B3A"/>
                <w:sz w:val="20"/>
                <w:szCs w:val="20"/>
              </w:rPr>
              <w:t xml:space="preserve">Write informative/explanatory texts to examine and convey complex ideas and information </w:t>
            </w:r>
            <w:r w:rsidRPr="0017372E">
              <w:rPr>
                <w:rFonts w:eastAsia="Times New Roman" w:cs="Helvetica"/>
                <w:color w:val="3B3B3A"/>
                <w:sz w:val="20"/>
                <w:szCs w:val="20"/>
              </w:rPr>
              <w:lastRenderedPageBreak/>
              <w:t>clearly and accurately through the effective selection, organization, and analysis of content.</w:t>
            </w:r>
          </w:p>
          <w:p w:rsidR="00536187" w:rsidRPr="001E3936" w:rsidRDefault="00536187" w:rsidP="00C40973"/>
        </w:tc>
      </w:tr>
    </w:tbl>
    <w:p w:rsidR="00536187" w:rsidRPr="00FE3DE6" w:rsidRDefault="00536187" w:rsidP="00536187">
      <w:r>
        <w:lastRenderedPageBreak/>
        <w:br w:type="page"/>
      </w:r>
    </w:p>
    <w:p w:rsidR="00536187" w:rsidRDefault="00536187" w:rsidP="00536187">
      <w:pPr>
        <w:pStyle w:val="ListParagraph"/>
        <w:numPr>
          <w:ilvl w:val="0"/>
          <w:numId w:val="5"/>
        </w:numPr>
        <w:spacing w:after="0" w:line="240" w:lineRule="auto"/>
      </w:pPr>
      <w:r w:rsidRPr="00FE3DE6">
        <w:lastRenderedPageBreak/>
        <w:t xml:space="preserve"> 5E Model – STEM lessons will use the 5E Model</w:t>
      </w:r>
    </w:p>
    <w:p w:rsidR="00536187" w:rsidRPr="001E3936" w:rsidRDefault="00536187" w:rsidP="00536187">
      <w:pPr>
        <w:pStyle w:val="ListParagraph"/>
      </w:pPr>
    </w:p>
    <w:tbl>
      <w:tblPr>
        <w:tblpPr w:leftFromText="180" w:rightFromText="180" w:vertAnchor="text" w:horzAnchor="margin" w:tblpXSpec="center" w:tblpY="21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4"/>
        <w:gridCol w:w="6222"/>
      </w:tblGrid>
      <w:tr w:rsidR="00536187" w:rsidRPr="001E3936" w:rsidTr="00830AD4">
        <w:trPr>
          <w:trHeight w:val="696"/>
          <w:tblHeader/>
        </w:trPr>
        <w:tc>
          <w:tcPr>
            <w:tcW w:w="1751" w:type="pct"/>
            <w:vAlign w:val="center"/>
          </w:tcPr>
          <w:p w:rsidR="00536187" w:rsidRPr="001E3936" w:rsidRDefault="00536187" w:rsidP="00C40973">
            <w:pPr>
              <w:jc w:val="center"/>
              <w:rPr>
                <w:b/>
              </w:rPr>
            </w:pPr>
            <w:r w:rsidRPr="001E3936">
              <w:rPr>
                <w:b/>
              </w:rPr>
              <w:t>5E Lesson Components</w:t>
            </w:r>
          </w:p>
        </w:tc>
        <w:tc>
          <w:tcPr>
            <w:tcW w:w="3249" w:type="pct"/>
            <w:vAlign w:val="center"/>
          </w:tcPr>
          <w:p w:rsidR="00536187" w:rsidRPr="001E3936" w:rsidRDefault="00536187" w:rsidP="00C40973">
            <w:pPr>
              <w:jc w:val="center"/>
              <w:rPr>
                <w:b/>
              </w:rPr>
            </w:pPr>
            <w:r w:rsidRPr="001E3936">
              <w:rPr>
                <w:b/>
              </w:rPr>
              <w:t>Description of  Activity</w:t>
            </w:r>
          </w:p>
        </w:tc>
      </w:tr>
      <w:tr w:rsidR="00536187" w:rsidRPr="001E3936" w:rsidTr="00830AD4">
        <w:trPr>
          <w:trHeight w:val="535"/>
        </w:trPr>
        <w:tc>
          <w:tcPr>
            <w:tcW w:w="1751" w:type="pct"/>
            <w:vAlign w:val="center"/>
          </w:tcPr>
          <w:p w:rsidR="00536187" w:rsidRPr="001E3936" w:rsidRDefault="00536187" w:rsidP="00C40973">
            <w:pPr>
              <w:spacing w:before="60" w:after="120"/>
              <w:jc w:val="center"/>
              <w:rPr>
                <w:b/>
              </w:rPr>
            </w:pPr>
            <w:r w:rsidRPr="001E3936">
              <w:rPr>
                <w:b/>
              </w:rPr>
              <w:t>Engagement</w:t>
            </w:r>
          </w:p>
          <w:p w:rsidR="00536187" w:rsidRPr="001E3936" w:rsidRDefault="00536187" w:rsidP="00C40973">
            <w:r w:rsidRPr="001E3936">
              <w:t>The activities in this section capture the participants’ attention, stimulate their thinking, and help them access prior knowledge.</w:t>
            </w:r>
          </w:p>
        </w:tc>
        <w:tc>
          <w:tcPr>
            <w:tcW w:w="3249" w:type="pct"/>
            <w:vAlign w:val="center"/>
          </w:tcPr>
          <w:p w:rsidR="00536187" w:rsidRPr="001E3936" w:rsidRDefault="00536187" w:rsidP="00830AD4">
            <w:pPr>
              <w:spacing w:before="120" w:after="120"/>
            </w:pPr>
            <w:r>
              <w:t xml:space="preserve">Students </w:t>
            </w:r>
            <w:r w:rsidR="00830AD4">
              <w:t xml:space="preserve">research what the recommended daily caloric intake is and then track themselves to see how they compare. </w:t>
            </w:r>
          </w:p>
        </w:tc>
      </w:tr>
      <w:tr w:rsidR="00536187" w:rsidRPr="001E3936" w:rsidTr="00830AD4">
        <w:trPr>
          <w:trHeight w:val="535"/>
        </w:trPr>
        <w:tc>
          <w:tcPr>
            <w:tcW w:w="1751" w:type="pct"/>
            <w:vAlign w:val="center"/>
          </w:tcPr>
          <w:p w:rsidR="00536187" w:rsidRPr="001E3936" w:rsidRDefault="00536187" w:rsidP="00C40973">
            <w:pPr>
              <w:spacing w:before="60" w:after="120"/>
              <w:jc w:val="center"/>
              <w:rPr>
                <w:b/>
              </w:rPr>
            </w:pPr>
            <w:r w:rsidRPr="001E3936">
              <w:rPr>
                <w:b/>
              </w:rPr>
              <w:t>Exploration</w:t>
            </w:r>
          </w:p>
          <w:p w:rsidR="00536187" w:rsidRPr="001E3936" w:rsidRDefault="00536187" w:rsidP="00C40973">
            <w:r w:rsidRPr="001E3936">
              <w:t>In this section, participants are given time to think, plan, investigate, and organize collected information.</w:t>
            </w:r>
          </w:p>
        </w:tc>
        <w:tc>
          <w:tcPr>
            <w:tcW w:w="3249" w:type="pct"/>
            <w:vAlign w:val="center"/>
          </w:tcPr>
          <w:p w:rsidR="00536187" w:rsidRPr="001E3936" w:rsidRDefault="00536187" w:rsidP="00830AD4">
            <w:pPr>
              <w:spacing w:before="120" w:after="120"/>
            </w:pPr>
            <w:r>
              <w:t xml:space="preserve">Students will </w:t>
            </w:r>
            <w:r w:rsidR="00830AD4">
              <w:t xml:space="preserve">research the national guidelines.  They will then accumulate their own personal data.  They will then assemble the class’ data and analyze the results. </w:t>
            </w:r>
          </w:p>
        </w:tc>
      </w:tr>
      <w:tr w:rsidR="00536187" w:rsidRPr="001E3936" w:rsidTr="00830AD4">
        <w:trPr>
          <w:trHeight w:val="535"/>
        </w:trPr>
        <w:tc>
          <w:tcPr>
            <w:tcW w:w="1751" w:type="pct"/>
            <w:vAlign w:val="center"/>
          </w:tcPr>
          <w:p w:rsidR="00536187" w:rsidRPr="001E3936" w:rsidRDefault="00536187" w:rsidP="00C40973">
            <w:pPr>
              <w:spacing w:before="60" w:after="120"/>
              <w:jc w:val="center"/>
              <w:rPr>
                <w:b/>
              </w:rPr>
            </w:pPr>
            <w:r w:rsidRPr="001E3936">
              <w:rPr>
                <w:b/>
              </w:rPr>
              <w:t>Explanation</w:t>
            </w:r>
          </w:p>
          <w:p w:rsidR="00536187" w:rsidRPr="001E3936" w:rsidRDefault="00536187" w:rsidP="00C40973">
            <w:r w:rsidRPr="001E3936">
              <w:t>Participants are now involved in an analysis of their exploration. Their understanding is clarified and modified because of reflective activities.</w:t>
            </w:r>
          </w:p>
        </w:tc>
        <w:tc>
          <w:tcPr>
            <w:tcW w:w="3249" w:type="pct"/>
            <w:vAlign w:val="center"/>
          </w:tcPr>
          <w:p w:rsidR="00536187" w:rsidRPr="001E3936" w:rsidRDefault="00536187" w:rsidP="00830AD4">
            <w:pPr>
              <w:spacing w:before="120" w:after="120"/>
            </w:pPr>
            <w:r>
              <w:t xml:space="preserve">Students would </w:t>
            </w:r>
            <w:r w:rsidR="00830AD4">
              <w:t xml:space="preserve">create a new weekly menu based on their findings.   They would summarize their choices and make interpretations about why their current caloric intakes are higher/lower than recommended. </w:t>
            </w:r>
          </w:p>
        </w:tc>
      </w:tr>
      <w:tr w:rsidR="00536187" w:rsidRPr="001E3936" w:rsidTr="00830AD4">
        <w:trPr>
          <w:trHeight w:val="568"/>
        </w:trPr>
        <w:tc>
          <w:tcPr>
            <w:tcW w:w="1751" w:type="pct"/>
            <w:vAlign w:val="center"/>
          </w:tcPr>
          <w:p w:rsidR="00536187" w:rsidRPr="001E3936" w:rsidRDefault="00536187" w:rsidP="00C40973">
            <w:pPr>
              <w:spacing w:before="60" w:after="120"/>
              <w:jc w:val="center"/>
              <w:rPr>
                <w:b/>
              </w:rPr>
            </w:pPr>
            <w:r w:rsidRPr="001E3936">
              <w:rPr>
                <w:b/>
              </w:rPr>
              <w:t>Extension</w:t>
            </w:r>
          </w:p>
          <w:p w:rsidR="00536187" w:rsidRPr="001E3936" w:rsidRDefault="00536187" w:rsidP="00C40973">
            <w:pPr>
              <w:rPr>
                <w:sz w:val="18"/>
                <w:szCs w:val="18"/>
              </w:rPr>
            </w:pPr>
            <w:r w:rsidRPr="001E3936">
              <w:t>This section gives participants the opportunity to expand and solidify their understanding of the concept and/or apply it to a real world situation</w:t>
            </w:r>
            <w:r w:rsidRPr="001E3936">
              <w:rPr>
                <w:sz w:val="18"/>
                <w:szCs w:val="18"/>
              </w:rPr>
              <w:t>.</w:t>
            </w:r>
          </w:p>
        </w:tc>
        <w:tc>
          <w:tcPr>
            <w:tcW w:w="3249" w:type="pct"/>
            <w:vAlign w:val="center"/>
          </w:tcPr>
          <w:p w:rsidR="00536187" w:rsidRPr="008A60AF" w:rsidRDefault="00830AD4" w:rsidP="00C40973">
            <w:r>
              <w:t xml:space="preserve">Students </w:t>
            </w:r>
            <w:r w:rsidR="0089774F">
              <w:t xml:space="preserve">will determine if their menus were feasible to maintain.  They will then make appropriate modifications to make their menus more doable in the real world. </w:t>
            </w:r>
          </w:p>
        </w:tc>
      </w:tr>
      <w:tr w:rsidR="00536187" w:rsidRPr="001E3936" w:rsidTr="00830AD4">
        <w:trPr>
          <w:trHeight w:val="568"/>
        </w:trPr>
        <w:tc>
          <w:tcPr>
            <w:tcW w:w="1751" w:type="pct"/>
            <w:vAlign w:val="center"/>
          </w:tcPr>
          <w:p w:rsidR="00536187" w:rsidRPr="001E3936" w:rsidRDefault="00536187" w:rsidP="00C40973">
            <w:pPr>
              <w:spacing w:before="60" w:after="120"/>
              <w:jc w:val="center"/>
              <w:rPr>
                <w:b/>
              </w:rPr>
            </w:pPr>
            <w:r w:rsidRPr="001E3936">
              <w:rPr>
                <w:b/>
              </w:rPr>
              <w:t>Evaluation</w:t>
            </w:r>
          </w:p>
          <w:p w:rsidR="00536187" w:rsidRPr="001E3936" w:rsidRDefault="00536187" w:rsidP="00C40973">
            <w:r w:rsidRPr="001E3936">
              <w:t>Evaluation occurs throughout the lesson. Scoring tools developed by teachers and participants target what participants must know and do. Consistent use of scoring tools improves learning.</w:t>
            </w:r>
          </w:p>
        </w:tc>
        <w:tc>
          <w:tcPr>
            <w:tcW w:w="3249" w:type="pct"/>
            <w:vAlign w:val="center"/>
          </w:tcPr>
          <w:p w:rsidR="00536187" w:rsidRPr="001E3936" w:rsidRDefault="00536187" w:rsidP="0089774F">
            <w:r>
              <w:t xml:space="preserve">Students </w:t>
            </w:r>
            <w:r w:rsidR="0089774F">
              <w:t xml:space="preserve">will evaluate their current caloric intakes and make the appropriate modifications based on the daily recommended values.  They will then test and evaluate their self-made menus to see if these guidelines are manageable in their daily life as students.  </w:t>
            </w:r>
          </w:p>
        </w:tc>
      </w:tr>
    </w:tbl>
    <w:p w:rsidR="00BB6CDA" w:rsidRDefault="00BB6CDA" w:rsidP="00BB6CD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Hunger is Not a Game</w:t>
      </w:r>
      <w:r w:rsidRPr="00EE7733">
        <w:rPr>
          <w:rFonts w:ascii="Comic Sans MS" w:hAnsi="Comic Sans MS"/>
          <w:b/>
          <w:sz w:val="28"/>
          <w:szCs w:val="28"/>
        </w:rPr>
        <w:t xml:space="preserve"> Investigation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Name____________</w:t>
      </w:r>
    </w:p>
    <w:p w:rsidR="00BB6CDA" w:rsidRDefault="00BB6CDA" w:rsidP="00BB6CDA">
      <w:pPr>
        <w:pStyle w:val="Heading1"/>
        <w:keepNext w:val="0"/>
        <w:keepLines w:val="0"/>
        <w:numPr>
          <w:ilvl w:val="0"/>
          <w:numId w:val="7"/>
        </w:numPr>
        <w:spacing w:before="0" w:after="251" w:line="240" w:lineRule="auto"/>
        <w:rPr>
          <w:rFonts w:ascii="Comic Sans MS" w:hAnsi="Comic Sans MS"/>
          <w:b w:val="0"/>
        </w:rPr>
      </w:pPr>
      <w:r>
        <w:rPr>
          <w:rFonts w:ascii="Comic Sans MS" w:hAnsi="Comic Sans MS"/>
        </w:rPr>
        <w:t>Inquiry:</w:t>
      </w:r>
      <w:r>
        <w:rPr>
          <w:rFonts w:ascii="Comic Sans MS" w:hAnsi="Comic Sans MS"/>
        </w:rPr>
        <w:tab/>
        <w:t xml:space="preserve">  Conduct an internet search to determine what the recommended caloric intake per day is for teenagers, male and female.  Use approved internet sites (</w:t>
      </w:r>
      <w:hyperlink r:id="rId5" w:history="1">
        <w:r w:rsidRPr="00C90E5F">
          <w:rPr>
            <w:rStyle w:val="Hyperlink"/>
            <w:rFonts w:ascii="Comic Sans MS" w:hAnsi="Comic Sans MS"/>
          </w:rPr>
          <w:t>www.livestrong.com</w:t>
        </w:r>
      </w:hyperlink>
      <w:r>
        <w:rPr>
          <w:rFonts w:ascii="Comic Sans MS" w:hAnsi="Comic Sans MS"/>
        </w:rPr>
        <w:t xml:space="preserve">, </w:t>
      </w:r>
      <w:hyperlink r:id="rId6" w:history="1">
        <w:r w:rsidRPr="00C90E5F">
          <w:rPr>
            <w:rStyle w:val="Hyperlink"/>
            <w:rFonts w:ascii="Comic Sans MS" w:hAnsi="Comic Sans MS"/>
          </w:rPr>
          <w:t>www.cdc.gov</w:t>
        </w:r>
      </w:hyperlink>
      <w:r>
        <w:rPr>
          <w:rFonts w:ascii="Comic Sans MS" w:hAnsi="Comic Sans MS"/>
        </w:rPr>
        <w:t xml:space="preserve"> ).</w:t>
      </w:r>
    </w:p>
    <w:p w:rsidR="00BB6CDA" w:rsidRDefault="00BB6CDA" w:rsidP="00BB6CDA">
      <w:pPr>
        <w:pStyle w:val="ListParagraph"/>
        <w:ind w:left="108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CDA" w:rsidRPr="00F71D28" w:rsidRDefault="00BB6CDA" w:rsidP="00BB6CDA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r w:rsidRPr="00F71D28">
        <w:rPr>
          <w:rFonts w:ascii="Comic Sans MS" w:hAnsi="Comic Sans MS"/>
          <w:b/>
          <w:sz w:val="28"/>
          <w:szCs w:val="28"/>
        </w:rPr>
        <w:t>Investigation:</w:t>
      </w:r>
      <w:r w:rsidRPr="00F71D28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Record your daily caloric intake for the day.  Analyze your results.  As a male or female are you above or below the recommendation?  </w:t>
      </w:r>
      <w:r w:rsidRPr="00F71D28">
        <w:rPr>
          <w:rFonts w:ascii="Comic Sans MS" w:hAnsi="Comic Sans MS"/>
          <w:b/>
          <w:sz w:val="28"/>
          <w:szCs w:val="28"/>
        </w:rPr>
        <w:t xml:space="preserve">  </w:t>
      </w:r>
    </w:p>
    <w:p w:rsidR="00BB6CDA" w:rsidRDefault="00BB6CDA" w:rsidP="00BB6CDA">
      <w:pPr>
        <w:pStyle w:val="ListParagraph"/>
        <w:ind w:left="108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CDA" w:rsidRDefault="00BB6CDA" w:rsidP="00BB6CDA">
      <w:pPr>
        <w:ind w:left="1065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Students will write their number and sex on an index card, anonymously.   Teacher will collect cards and post the </w:t>
      </w:r>
      <w:r>
        <w:rPr>
          <w:rFonts w:ascii="Comic Sans MS" w:hAnsi="Comic Sans MS"/>
          <w:b/>
          <w:sz w:val="28"/>
          <w:szCs w:val="28"/>
        </w:rPr>
        <w:lastRenderedPageBreak/>
        <w:t xml:space="preserve">numbers at the front of the room.  Students will then find the average of the class for males and females.  </w:t>
      </w:r>
    </w:p>
    <w:p w:rsidR="00BB6CDA" w:rsidRDefault="00BB6CDA" w:rsidP="00BB6CDA">
      <w:pPr>
        <w:ind w:left="1065"/>
        <w:rPr>
          <w:color w:val="000000"/>
        </w:rPr>
      </w:pPr>
      <w:r>
        <w:rPr>
          <w:color w:val="000000"/>
        </w:rPr>
        <w:t>Mean = sum of elements / number of elements</w:t>
      </w:r>
      <w:r>
        <w:rPr>
          <w:color w:val="000000"/>
        </w:rPr>
        <w:br/>
        <w:t>              = a1+a2+a3+.....+an/n</w:t>
      </w:r>
    </w:p>
    <w:p w:rsidR="00BB6CDA" w:rsidRPr="00A21595" w:rsidRDefault="00BB6CDA" w:rsidP="00BB6CDA">
      <w:pPr>
        <w:ind w:left="1065"/>
        <w:rPr>
          <w:rFonts w:ascii="Comic Sans MS" w:hAnsi="Comic Sans MS"/>
          <w:b/>
          <w:sz w:val="28"/>
          <w:szCs w:val="28"/>
        </w:rPr>
      </w:pPr>
      <w:r w:rsidRPr="00A21595">
        <w:rPr>
          <w:rFonts w:ascii="Comic Sans MS" w:hAnsi="Comic Sans MS"/>
          <w:b/>
          <w:sz w:val="28"/>
          <w:szCs w:val="28"/>
        </w:rPr>
        <w:t xml:space="preserve">Analyze your results.  </w:t>
      </w:r>
      <w:r>
        <w:rPr>
          <w:rFonts w:ascii="Comic Sans MS" w:hAnsi="Comic Sans MS"/>
          <w:b/>
          <w:sz w:val="28"/>
          <w:szCs w:val="28"/>
        </w:rPr>
        <w:t xml:space="preserve">Is the class average for females and males above/below the recommended daily caloric intake for teenagers?  Are your individual results higher/lower than the class average for your sex? </w:t>
      </w:r>
    </w:p>
    <w:p w:rsidR="00BB6CDA" w:rsidRDefault="00BB6CDA" w:rsidP="00BB6CDA">
      <w:pPr>
        <w:pStyle w:val="ListParagraph"/>
        <w:ind w:left="108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CDA" w:rsidRDefault="00BB6CDA" w:rsidP="00BB6CDA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Pr="009354B2">
        <w:rPr>
          <w:rFonts w:ascii="Comic Sans MS" w:hAnsi="Comic Sans MS"/>
          <w:b/>
          <w:sz w:val="28"/>
          <w:szCs w:val="28"/>
        </w:rPr>
        <w:t>Implementation:  Design a weekly menu for yourself</w:t>
      </w:r>
      <w:r>
        <w:rPr>
          <w:rFonts w:ascii="Comic Sans MS" w:hAnsi="Comic Sans MS"/>
          <w:b/>
          <w:sz w:val="28"/>
          <w:szCs w:val="28"/>
        </w:rPr>
        <w:t xml:space="preserve"> for breakfast, lunch, and dinner</w:t>
      </w:r>
      <w:r w:rsidRPr="009354B2">
        <w:rPr>
          <w:rFonts w:ascii="Comic Sans MS" w:hAnsi="Comic Sans MS"/>
          <w:b/>
          <w:sz w:val="28"/>
          <w:szCs w:val="28"/>
        </w:rPr>
        <w:t xml:space="preserve">, using food label information.  Use the website </w:t>
      </w:r>
      <w:hyperlink r:id="rId7" w:history="1">
        <w:r w:rsidRPr="009354B2">
          <w:rPr>
            <w:rStyle w:val="Hyperlink"/>
            <w:rFonts w:ascii="Comic Sans MS" w:hAnsi="Comic Sans MS"/>
            <w:b/>
            <w:sz w:val="28"/>
            <w:szCs w:val="28"/>
          </w:rPr>
          <w:t>http://fnic.nal.usda.gov/</w:t>
        </w:r>
      </w:hyperlink>
      <w:r w:rsidRPr="009354B2">
        <w:rPr>
          <w:rFonts w:ascii="Comic Sans MS" w:hAnsi="Comic Sans MS"/>
          <w:b/>
          <w:sz w:val="28"/>
          <w:szCs w:val="28"/>
        </w:rPr>
        <w:t xml:space="preserve"> to get accurate nutritional information. Make sure that you stay within the recommended daily caloric </w:t>
      </w:r>
      <w:r>
        <w:rPr>
          <w:rFonts w:ascii="Comic Sans MS" w:hAnsi="Comic Sans MS"/>
          <w:b/>
          <w:sz w:val="28"/>
          <w:szCs w:val="28"/>
        </w:rPr>
        <w:t xml:space="preserve">guidelines. </w:t>
      </w:r>
    </w:p>
    <w:p w:rsidR="00BB6CDA" w:rsidRDefault="00BB6CDA" w:rsidP="00BB6CDA">
      <w:pPr>
        <w:rPr>
          <w:rFonts w:ascii="Comic Sans MS" w:hAnsi="Comic Sans MS"/>
          <w:b/>
          <w:sz w:val="28"/>
          <w:szCs w:val="28"/>
        </w:rPr>
      </w:pPr>
    </w:p>
    <w:p w:rsidR="00BB6CDA" w:rsidRPr="009354B2" w:rsidRDefault="00BB6CDA" w:rsidP="00BB6CDA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59"/>
        <w:gridCol w:w="1565"/>
        <w:gridCol w:w="1573"/>
        <w:gridCol w:w="1743"/>
        <w:gridCol w:w="1585"/>
        <w:gridCol w:w="1551"/>
      </w:tblGrid>
      <w:tr w:rsidR="00BB6CDA" w:rsidTr="008230A4"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Sunday</w:t>
            </w: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BB6CDA" w:rsidTr="008230A4"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B:</w:t>
            </w: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6CDA" w:rsidTr="008230A4"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L:</w:t>
            </w: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6CDA" w:rsidTr="008230A4"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D:</w:t>
            </w: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6CDA" w:rsidTr="008230A4"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Total:</w:t>
            </w: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BB6CDA" w:rsidRDefault="00BB6CDA" w:rsidP="00BB6CDA">
      <w:pPr>
        <w:rPr>
          <w:rFonts w:ascii="Comic Sans MS" w:hAnsi="Comic Sans MS"/>
          <w:b/>
          <w:sz w:val="28"/>
          <w:szCs w:val="28"/>
        </w:rPr>
      </w:pPr>
    </w:p>
    <w:p w:rsidR="00BB6CDA" w:rsidRDefault="00BB6CDA" w:rsidP="00BB6CDA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r w:rsidRPr="009354B2">
        <w:rPr>
          <w:rFonts w:ascii="Comic Sans MS" w:hAnsi="Comic Sans MS"/>
          <w:b/>
          <w:sz w:val="28"/>
          <w:szCs w:val="28"/>
        </w:rPr>
        <w:t>I</w:t>
      </w:r>
      <w:r>
        <w:rPr>
          <w:rFonts w:ascii="Comic Sans MS" w:hAnsi="Comic Sans MS"/>
          <w:b/>
          <w:sz w:val="28"/>
          <w:szCs w:val="28"/>
        </w:rPr>
        <w:t>nterpretation</w:t>
      </w:r>
      <w:r w:rsidRPr="009354B2">
        <w:rPr>
          <w:rFonts w:ascii="Comic Sans MS" w:hAnsi="Comic Sans MS"/>
          <w:b/>
          <w:sz w:val="28"/>
          <w:szCs w:val="28"/>
        </w:rPr>
        <w:t xml:space="preserve">:  Write a summary of your exploration.  </w:t>
      </w:r>
      <w:r>
        <w:rPr>
          <w:rFonts w:ascii="Comic Sans MS" w:hAnsi="Comic Sans MS"/>
          <w:b/>
          <w:sz w:val="28"/>
          <w:szCs w:val="28"/>
        </w:rPr>
        <w:t xml:space="preserve">Would you find it difficult or easy to stay within a certain range for nutrition?  What factors might keep you from following this plan?  </w:t>
      </w:r>
    </w:p>
    <w:p w:rsidR="00BB6CDA" w:rsidRDefault="00BB6CDA" w:rsidP="00BB6CDA">
      <w:pPr>
        <w:rPr>
          <w:rFonts w:ascii="Comic Sans MS" w:hAnsi="Comic Sans MS"/>
          <w:b/>
          <w:sz w:val="28"/>
          <w:szCs w:val="28"/>
        </w:rPr>
      </w:pPr>
      <w:r w:rsidRPr="009354B2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</w:p>
    <w:p w:rsidR="00BB6CDA" w:rsidRPr="009354B2" w:rsidRDefault="00BB6CDA" w:rsidP="00BB6CD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Modified Menu after One Week’s Trial</w:t>
      </w:r>
    </w:p>
    <w:tbl>
      <w:tblPr>
        <w:tblStyle w:val="TableGrid"/>
        <w:tblW w:w="0" w:type="auto"/>
        <w:tblLook w:val="04A0"/>
      </w:tblPr>
      <w:tblGrid>
        <w:gridCol w:w="1559"/>
        <w:gridCol w:w="1565"/>
        <w:gridCol w:w="1573"/>
        <w:gridCol w:w="1743"/>
        <w:gridCol w:w="1585"/>
        <w:gridCol w:w="1551"/>
      </w:tblGrid>
      <w:tr w:rsidR="00BB6CDA" w:rsidTr="008230A4"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Sunday</w:t>
            </w: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BB6CDA" w:rsidTr="008230A4"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B:</w:t>
            </w: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6CDA" w:rsidTr="008230A4"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L:</w:t>
            </w: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6CDA" w:rsidTr="008230A4"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D:</w:t>
            </w: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6CDA" w:rsidTr="008230A4"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Total:</w:t>
            </w: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6CDA" w:rsidRDefault="00BB6CDA" w:rsidP="008230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BB6CDA" w:rsidRDefault="00BB6CDA" w:rsidP="00BB6CDA">
      <w:pPr>
        <w:rPr>
          <w:rFonts w:ascii="Comic Sans MS" w:hAnsi="Comic Sans MS"/>
          <w:b/>
          <w:sz w:val="28"/>
          <w:szCs w:val="28"/>
        </w:rPr>
      </w:pPr>
    </w:p>
    <w:p w:rsidR="00BB6CDA" w:rsidRDefault="00BB6CDA" w:rsidP="00BB6CD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Discuss how this modified menu would work better in the real world for a student.  </w:t>
      </w:r>
    </w:p>
    <w:p w:rsidR="00BB6CDA" w:rsidRPr="008774F4" w:rsidRDefault="00BB6CDA" w:rsidP="00BB6CD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187" w:rsidRDefault="00536187" w:rsidP="00536187"/>
    <w:p w:rsidR="00536187" w:rsidRDefault="00536187" w:rsidP="00807F85">
      <w:pPr>
        <w:rPr>
          <w:rFonts w:ascii="Helvetica" w:hAnsi="Helvetica" w:cs="Helvetica"/>
          <w:sz w:val="20"/>
          <w:szCs w:val="20"/>
        </w:rPr>
      </w:pPr>
    </w:p>
    <w:sectPr w:rsidR="00536187" w:rsidSect="00536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95D"/>
    <w:multiLevelType w:val="hybridMultilevel"/>
    <w:tmpl w:val="48A8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14A4"/>
    <w:multiLevelType w:val="hybridMultilevel"/>
    <w:tmpl w:val="7482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1114"/>
    <w:multiLevelType w:val="hybridMultilevel"/>
    <w:tmpl w:val="E264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5643F"/>
    <w:multiLevelType w:val="hybridMultilevel"/>
    <w:tmpl w:val="0756B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0527F1"/>
    <w:multiLevelType w:val="hybridMultilevel"/>
    <w:tmpl w:val="C57C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607F6"/>
    <w:multiLevelType w:val="hybridMultilevel"/>
    <w:tmpl w:val="D7080294"/>
    <w:lvl w:ilvl="0" w:tplc="C276C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42687"/>
    <w:multiLevelType w:val="multilevel"/>
    <w:tmpl w:val="8314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0F15"/>
    <w:rsid w:val="000009E0"/>
    <w:rsid w:val="00050CEA"/>
    <w:rsid w:val="001075AE"/>
    <w:rsid w:val="0017372E"/>
    <w:rsid w:val="001F7023"/>
    <w:rsid w:val="0020671E"/>
    <w:rsid w:val="00447669"/>
    <w:rsid w:val="00536187"/>
    <w:rsid w:val="0061139D"/>
    <w:rsid w:val="00682D51"/>
    <w:rsid w:val="00694157"/>
    <w:rsid w:val="00772737"/>
    <w:rsid w:val="00802271"/>
    <w:rsid w:val="00807F85"/>
    <w:rsid w:val="00815EAB"/>
    <w:rsid w:val="00830AD4"/>
    <w:rsid w:val="0089774F"/>
    <w:rsid w:val="009C2521"/>
    <w:rsid w:val="00A05EEC"/>
    <w:rsid w:val="00A22471"/>
    <w:rsid w:val="00AC0F15"/>
    <w:rsid w:val="00BB6CDA"/>
    <w:rsid w:val="00BD3BD5"/>
    <w:rsid w:val="00C70210"/>
    <w:rsid w:val="00DE3A09"/>
    <w:rsid w:val="00E14AD3"/>
    <w:rsid w:val="00E343CA"/>
    <w:rsid w:val="00E6669C"/>
    <w:rsid w:val="00F4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9C"/>
  </w:style>
  <w:style w:type="paragraph" w:styleId="Heading1">
    <w:name w:val="heading 1"/>
    <w:basedOn w:val="Normal"/>
    <w:next w:val="Normal"/>
    <w:link w:val="Heading1Char"/>
    <w:uiPriority w:val="9"/>
    <w:qFormat/>
    <w:rsid w:val="00AC0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F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0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C0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C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6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1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nic.nal.usd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" TargetMode="External"/><Relationship Id="rId5" Type="http://schemas.openxmlformats.org/officeDocument/2006/relationships/hyperlink" Target="http://www.livestro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WelgoKel</dc:creator>
  <cp:keywords/>
  <dc:description/>
  <cp:lastModifiedBy>Washington County Public Schools</cp:lastModifiedBy>
  <cp:revision>2</cp:revision>
  <dcterms:created xsi:type="dcterms:W3CDTF">2012-08-27T13:05:00Z</dcterms:created>
  <dcterms:modified xsi:type="dcterms:W3CDTF">2012-08-27T13:05:00Z</dcterms:modified>
</cp:coreProperties>
</file>